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108" w:type="dxa"/>
        <w:tblBorders>
          <w:insideH w:val="single" w:sz="18" w:space="0" w:color="1F3864" w:themeColor="accent5" w:themeShade="80"/>
          <w:insideV w:val="single" w:sz="18" w:space="0" w:color="323E4F" w:themeColor="tex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7637"/>
      </w:tblGrid>
      <w:tr w:rsidR="009A55C3" w:rsidRPr="00EA51F5" w:rsidTr="00047A66">
        <w:trPr>
          <w:trHeight w:val="1852"/>
        </w:trPr>
        <w:tc>
          <w:tcPr>
            <w:tcW w:w="1469" w:type="dxa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  <w:hideMark/>
          </w:tcPr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color w:val="1F497D"/>
                <w:lang w:eastAsia="pt-BR"/>
              </w:rPr>
            </w:pPr>
            <w:r w:rsidRPr="00EA51F5">
              <w:rPr>
                <w:rFonts w:ascii="Georgia" w:hAnsi="Georgia" w:cstheme="minorHAnsi"/>
                <w:noProof/>
                <w:color w:val="1F497D"/>
                <w:lang w:eastAsia="pt-BR"/>
              </w:rPr>
              <w:drawing>
                <wp:inline distT="0" distB="0" distL="0" distR="0" wp14:anchorId="7C18FA41" wp14:editId="65457ECE">
                  <wp:extent cx="752475" cy="984343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 somente sigla (vertical azul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83" cy="98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  <w:tcMar>
              <w:top w:w="0" w:type="dxa"/>
              <w:left w:w="284" w:type="dxa"/>
              <w:bottom w:w="0" w:type="dxa"/>
              <w:right w:w="0" w:type="dxa"/>
            </w:tcMar>
          </w:tcPr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b/>
                <w:color w:val="222A35" w:themeColor="text2" w:themeShade="80"/>
                <w:lang w:eastAsia="pt-BR"/>
              </w:rPr>
            </w:pPr>
          </w:p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b/>
                <w:caps/>
                <w:color w:val="222A35" w:themeColor="text2" w:themeShade="80"/>
                <w:lang w:eastAsia="pt-BR"/>
              </w:rPr>
            </w:pPr>
          </w:p>
          <w:p w:rsidR="009A55C3" w:rsidRPr="00EA51F5" w:rsidRDefault="009A55C3" w:rsidP="00ED7340">
            <w:pPr>
              <w:spacing w:before="120" w:after="120" w:line="276" w:lineRule="auto"/>
              <w:rPr>
                <w:rFonts w:ascii="Georgia" w:hAnsi="Georgia" w:cstheme="minorHAnsi"/>
                <w:color w:val="222A35" w:themeColor="text2" w:themeShade="80"/>
                <w:lang w:eastAsia="pt-BR"/>
              </w:rPr>
            </w:pPr>
            <w:r w:rsidRPr="00EA51F5">
              <w:rPr>
                <w:rFonts w:ascii="Georgia" w:hAnsi="Georgia" w:cstheme="minorHAnsi"/>
                <w:b/>
                <w:caps/>
                <w:color w:val="222A35" w:themeColor="text2" w:themeShade="80"/>
                <w:lang w:eastAsia="pt-BR"/>
              </w:rPr>
              <w:t>Núcleo Permanente de Métodos Consensuais de Solução de Conflitos</w:t>
            </w:r>
            <w:r w:rsidRPr="00EA51F5">
              <w:rPr>
                <w:rFonts w:ascii="Georgia" w:hAnsi="Georgia" w:cstheme="minorHAnsi"/>
                <w:b/>
                <w:color w:val="222A35" w:themeColor="text2" w:themeShade="80"/>
                <w:lang w:eastAsia="pt-BR"/>
              </w:rPr>
              <w:t xml:space="preserve"> - NUPEMEC</w:t>
            </w:r>
          </w:p>
        </w:tc>
      </w:tr>
    </w:tbl>
    <w:p w:rsidR="00BF44C4" w:rsidRPr="00EA51F5" w:rsidRDefault="00BF44C4" w:rsidP="00ED7340">
      <w:pPr>
        <w:spacing w:before="120" w:after="120" w:line="276" w:lineRule="auto"/>
        <w:jc w:val="center"/>
        <w:rPr>
          <w:rFonts w:ascii="Georgia" w:hAnsi="Georgia"/>
          <w:b/>
          <w:u w:val="single"/>
        </w:rPr>
      </w:pPr>
    </w:p>
    <w:p w:rsidR="00EA51F5" w:rsidRPr="00EA51F5" w:rsidRDefault="00EA51F5" w:rsidP="00ED7340">
      <w:pPr>
        <w:spacing w:before="120" w:after="120" w:line="276" w:lineRule="auto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>Ata da 1ª Sessão Ordinária do Núcleo Permanente de Métodos Consensuais de Solução de Conflitos (NUPEMEC) – Gestão 2023/2024</w:t>
      </w: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color w:val="000000"/>
          <w:lang w:eastAsia="pt-BR"/>
        </w:rPr>
        <w:t>No dia 30 de maio de 2023 (30/05/2023), às 10h00, na modalidade híbrida, realizou-se a 1ª Reunião Ordinária do Núcleo Permanente de Métodos Consensuais de Solução de Conflitos (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) – Gestão 2023/2024, com a participação dos seguintes membros: Desembargador FERNANDO ANTONIO PRAZERES (2º Vice-Presidente e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), Desembargador FABIO RIBEIRO BRANDÃO (Juiz Auxiliar do Corregedor-Geral da Justiça), Desembargador FRANCISCO GONZAGA DE OLIVEIRA (Desembargador Coordenador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2º Grau), Desembargador ROGÉRIO ETZEL (Vice-Diretor da EJUD), Desembargador GUIDO JOSÉ DÖBELI (Desembargador Aposentado do quadro de conciliadores do TJPR), Doutor OSVALDO CANELA JÚNIOR (Diretor-Geral da EMAP), Doutora VANESSA JAMUS MARCHI (Juíza Coordenadora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Cível de Curitiba), Doutor DIEGO SANTOS TEIXEIRA (Juiz Coordenador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Criminal de Curitiba), Doutora GABRIELLE BRITTO DE OLIVEIRA (Juíza Coordenadora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de Cascavel), Doutor JOSÉ ARISTIDES CATENACCI JÚNIOR (Juiz Coordenador Adjunto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Cejusc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Almirante Tamandaré) e os Senhores GENÉSIO BORUCH e MAURO TROIANO, servidores efetivos da Secretaria do Tribunal de Justiça. Aberta a reunião, iniciaram-se os trabalhos.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1. Aprovação da ata da 6ª Sessão Ordinária do </w:t>
      </w:r>
      <w:proofErr w:type="spellStart"/>
      <w:r w:rsidRPr="00EA51F5">
        <w:rPr>
          <w:rFonts w:ascii="Georgia" w:eastAsia="Times New Roman" w:hAnsi="Georgia"/>
          <w:b/>
          <w:bCs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, ocorrida virtualmente entre os dias 21/11/2022 e 22/11/2022.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aprovou a ata.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2. Referendo de atos: 2.1. SEI nº 0034159-87.2023.8.16.6000: </w:t>
      </w:r>
      <w:r w:rsidRPr="00EA51F5">
        <w:rPr>
          <w:rFonts w:ascii="Georgia" w:eastAsia="Times New Roman" w:hAnsi="Georgia"/>
          <w:lang w:eastAsia="pt-BR"/>
        </w:rPr>
        <w:t xml:space="preserve">Portaria nº 3003/2023-NUPEMEC, que autorizou o funcionamento do CEJUSC do Foro Regional de Paiçandu, da Comarca da Região Metropolitana de Maringá, nos termos dos </w:t>
      </w:r>
      <w:proofErr w:type="spellStart"/>
      <w:r w:rsidRPr="00EA51F5">
        <w:rPr>
          <w:rFonts w:ascii="Georgia" w:eastAsia="Times New Roman" w:hAnsi="Georgia"/>
          <w:lang w:eastAsia="pt-BR"/>
        </w:rPr>
        <w:t>arts</w:t>
      </w:r>
      <w:proofErr w:type="spellEnd"/>
      <w:r w:rsidRPr="00EA51F5">
        <w:rPr>
          <w:rFonts w:ascii="Georgia" w:eastAsia="Times New Roman" w:hAnsi="Georgia"/>
          <w:lang w:eastAsia="pt-BR"/>
        </w:rPr>
        <w:t>. 2º e 3º da Res. n. 02/2016-NUPEMEC. Relator: Des. Fernando Prazeres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o ato. 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2.2. SEI nº 0120195-69.2022.8.16.6000: </w:t>
      </w:r>
      <w:r w:rsidRPr="00EA51F5">
        <w:rPr>
          <w:rFonts w:ascii="Georgia" w:eastAsia="Times New Roman" w:hAnsi="Georgia"/>
          <w:lang w:eastAsia="pt-BR"/>
        </w:rPr>
        <w:t>Portaria 1219/2023 – NUPEMEC, de credenciamento da IMEDIE Câmara Extrajudicial de Resolução de Conflitos LTDA., com sede na Comarca de Maringá. Relator: Des. Fernando Prazeres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a autorização.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>2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.3. SEI nº 0114460-55.2022.8.16.6000: </w:t>
      </w:r>
      <w:r w:rsidRPr="00EA51F5">
        <w:rPr>
          <w:rFonts w:ascii="Georgia" w:eastAsia="Times New Roman" w:hAnsi="Georgia"/>
          <w:lang w:eastAsia="pt-BR"/>
        </w:rPr>
        <w:t>Portaria 1216/2023 – NUPEMEC, de credenciamento da Câmara de Mediação, Conciliação e Arbitragem – MEDIARB, com sede na Comarca de Cascavel. Relator: Des. Fernando Prazeres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a autorização.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>2.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4. SEI nº 0028724-35.2023.8.16.6000: </w:t>
      </w:r>
      <w:r w:rsidRPr="00EA51F5">
        <w:rPr>
          <w:rFonts w:ascii="Georgia" w:eastAsia="Times New Roman" w:hAnsi="Georgia"/>
          <w:lang w:eastAsia="pt-BR"/>
        </w:rPr>
        <w:t>Portaria n. 5791/2023 e alteração da denominação da Comissão da Mediação e da Justiça Restaurativa – Portaria que reformula a Comissão da Mediação e da Justiça Restaurativa, inclusive com relação aos seus membros, Relator: Des. Fernando Prazeres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o ato.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>2.</w:t>
      </w:r>
      <w:r w:rsidRPr="00EA51F5">
        <w:rPr>
          <w:rFonts w:ascii="Georgia" w:eastAsia="Times New Roman" w:hAnsi="Georgia"/>
          <w:b/>
          <w:bCs/>
          <w:lang w:eastAsia="pt-BR"/>
        </w:rPr>
        <w:t>5. SEI nº 0046114-18.2023.8.16.6000</w:t>
      </w:r>
      <w:r w:rsidRPr="00EA51F5">
        <w:rPr>
          <w:rFonts w:ascii="Georgia" w:eastAsia="Times New Roman" w:hAnsi="Georgia"/>
          <w:lang w:eastAsia="pt-BR"/>
        </w:rPr>
        <w:t>: CEJUSC Maringá – incremento de atos para os meses de abril, maio e junho – solicitação da Juíza Coordenadora, com liminar já concedida liminarmente pela 2ª Vice-Presidência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o ato.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2.6. 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SEI Nº 0062304-56.2023.8.16.6000: </w:t>
      </w:r>
      <w:r w:rsidRPr="00EA51F5">
        <w:rPr>
          <w:rFonts w:ascii="Georgia" w:eastAsia="Times New Roman" w:hAnsi="Georgia"/>
          <w:lang w:eastAsia="pt-BR"/>
        </w:rPr>
        <w:t xml:space="preserve">Ciência e aprovação de proposta criando mutirões temáticos por grandes litigantes, reservando-se uma semana da pauta do </w:t>
      </w:r>
      <w:proofErr w:type="spellStart"/>
      <w:r w:rsidRPr="00EA51F5">
        <w:rPr>
          <w:rFonts w:ascii="Georgia" w:eastAsia="Times New Roman" w:hAnsi="Georgia"/>
          <w:lang w:eastAsia="pt-BR"/>
        </w:rPr>
        <w:t>Cejusc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 2º grau por mês para sua realização, ressalvado o mês de novembro, quando acontece a Semana Nacional da Conciliação. Relator: Des. Fernando Prazeres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referendou o projeto.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3. Deliberações. 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3.1. 0055109-20.2023.8.16.6000: </w:t>
      </w:r>
      <w:r w:rsidRPr="00EA51F5">
        <w:rPr>
          <w:rFonts w:ascii="Georgia" w:eastAsia="Times New Roman" w:hAnsi="Georgia"/>
          <w:lang w:eastAsia="pt-BR"/>
        </w:rPr>
        <w:t>Emenda ao Regimento Interno do NUPEMEC, para possibilitar a realização de reuniões virtuais. Relator: Des. Fernando Prazeres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aprovou a minuta, conforme voto do relator.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 xml:space="preserve">3.2. </w:t>
      </w:r>
      <w:r w:rsidRPr="00EA51F5">
        <w:rPr>
          <w:rFonts w:ascii="Georgia" w:eastAsia="Times New Roman" w:hAnsi="Georgia"/>
          <w:b/>
          <w:bCs/>
          <w:lang w:eastAsia="pt-BR"/>
        </w:rPr>
        <w:t>0062022-18.2023.8.16.6000:</w:t>
      </w:r>
      <w:r w:rsidRPr="00EA51F5">
        <w:rPr>
          <w:rFonts w:ascii="Georgia" w:eastAsia="Times New Roman" w:hAnsi="Georgia"/>
          <w:lang w:eastAsia="pt-BR"/>
        </w:rPr>
        <w:t xml:space="preserve"> Impactos da edição da Res. CNJ 481/2022 e revogação de atos normativos editados pelo TJPR durante e em decorrência da pandemia COVID/19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. Relator: Des. Fernando Prazeres,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aprovou a minuta, conforme voto do relator. </w:t>
      </w:r>
      <w:r w:rsidRPr="00EA51F5">
        <w:rPr>
          <w:rFonts w:ascii="Georgia" w:eastAsia="Times New Roman" w:hAnsi="Georgia"/>
          <w:b/>
          <w:bCs/>
          <w:color w:val="000000"/>
          <w:lang w:eastAsia="pt-BR"/>
        </w:rPr>
        <w:t>3.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3 SEI n° 0051878-82.2023.8.16.6000: </w:t>
      </w:r>
      <w:r w:rsidRPr="00EA51F5">
        <w:rPr>
          <w:rFonts w:ascii="Georgia" w:eastAsia="Times New Roman" w:hAnsi="Georgia"/>
          <w:lang w:eastAsia="pt-BR"/>
        </w:rPr>
        <w:t xml:space="preserve">Proposta de alteração da Resolução n° 275/2020-OE para remanejar o número de atos previstos na Tabela constante do Anexo III do referido ato normativo a fim de: a) prever atos remunerados ao CEJUSC de 2o grau; b) prever atos remunerados ao CEJUSC Endividados; c) elevar o número de atos remunerados do CEJUSC da Vara Afonso Pena do Foro Regional de São José dos Pinhais; d) elevar o número de atos remunerados dos </w:t>
      </w:r>
      <w:proofErr w:type="spellStart"/>
      <w:r w:rsidRPr="00EA51F5">
        <w:rPr>
          <w:rFonts w:ascii="Georgia" w:eastAsia="Times New Roman" w:hAnsi="Georgia"/>
          <w:lang w:eastAsia="pt-BR"/>
        </w:rPr>
        <w:t>CEJUSCs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 referidos no item IV da proposta doc. 8987562 e </w:t>
      </w:r>
      <w:proofErr w:type="spellStart"/>
      <w:r w:rsidRPr="00EA51F5">
        <w:rPr>
          <w:rFonts w:ascii="Georgia" w:eastAsia="Times New Roman" w:hAnsi="Georgia"/>
          <w:lang w:eastAsia="pt-BR"/>
        </w:rPr>
        <w:t>e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) instituir o sistema de reforço de atos remunerados. Em caso de aprovação da proposta pelo </w:t>
      </w:r>
      <w:proofErr w:type="spellStart"/>
      <w:r w:rsidRPr="00EA51F5">
        <w:rPr>
          <w:rFonts w:ascii="Georgia" w:eastAsia="Times New Roman" w:hAnsi="Georgia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lang w:eastAsia="pt-BR"/>
        </w:rPr>
        <w:t>, o projeto de alteração da Resolução n° 275/2020 - OE será encaminhado à Presidência que poderá pautar a matéria para votação no Órgão Especial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. Relator: Des. Fernando Prazeres,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aprovou a minuta, conforme voto do relator. Constou em ata elogio ao profícuo trabalho realizado pelos consultores Genésio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Boruch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e Mauro Troiano, e os servidores Fernanda Cristina Barbosa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Quiessi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Rolim e Alberto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Koji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Arasaki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>, pelo estudo na obtenção dos dados para a elaboração desta proposta. </w:t>
      </w: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  <w:bookmarkStart w:id="0" w:name="_GoBack"/>
      <w:bookmarkEnd w:id="0"/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>Ata da 1ª Sessão de Interesse Conjunto do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>Núcleo Permanente de Métodos Consensuais de Solução de Conflitos (NUPEMEC) e do Conselho de Supervisão dos Juizados Especiais (</w:t>
      </w:r>
      <w:proofErr w:type="spellStart"/>
      <w:r w:rsidRPr="00EA51F5">
        <w:rPr>
          <w:rFonts w:ascii="Georgia" w:eastAsia="Times New Roman" w:hAnsi="Georgia"/>
          <w:b/>
          <w:bCs/>
          <w:u w:val="single"/>
          <w:lang w:eastAsia="pt-BR"/>
        </w:rPr>
        <w:t>CSJEs</w:t>
      </w:r>
      <w:proofErr w:type="spellEnd"/>
      <w:r w:rsidRPr="00EA51F5">
        <w:rPr>
          <w:rFonts w:ascii="Georgia" w:eastAsia="Times New Roman" w:hAnsi="Georgia"/>
          <w:b/>
          <w:bCs/>
          <w:u w:val="single"/>
          <w:lang w:eastAsia="pt-BR"/>
        </w:rPr>
        <w:t xml:space="preserve">)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>Gestão 2023/2024</w:t>
      </w: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lang w:eastAsia="pt-BR"/>
        </w:rPr>
        <w:t xml:space="preserve">Na sequência, os membros do NUPEMEC passaram à deliberação de expedientes que são de interesse conjunto com o Conselho de Supervisão dos Juizados Especiais. </w:t>
      </w:r>
      <w:r w:rsidRPr="00EA51F5">
        <w:rPr>
          <w:rFonts w:ascii="Georgia" w:eastAsia="Times New Roman" w:hAnsi="Georgia"/>
          <w:b/>
          <w:bCs/>
          <w:lang w:eastAsia="pt-BR"/>
        </w:rPr>
        <w:t>Deliberações</w:t>
      </w:r>
      <w:r w:rsidRPr="00EA51F5">
        <w:rPr>
          <w:rFonts w:ascii="Georgia" w:eastAsia="Times New Roman" w:hAnsi="Georgia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1.1 </w:t>
      </w:r>
      <w:r w:rsidRPr="00EA51F5">
        <w:rPr>
          <w:rFonts w:ascii="Georgia" w:eastAsia="Times New Roman" w:hAnsi="Georgia"/>
          <w:b/>
          <w:bCs/>
          <w:u w:val="single"/>
          <w:lang w:eastAsia="pt-BR"/>
        </w:rPr>
        <w:t>SEI n° 0069297-18.2023.8.16.6000</w:t>
      </w:r>
      <w:r w:rsidRPr="00EA51F5">
        <w:rPr>
          <w:rFonts w:ascii="Georgia" w:eastAsia="Times New Roman" w:hAnsi="Georgia"/>
          <w:lang w:eastAsia="pt-BR"/>
        </w:rPr>
        <w:t xml:space="preserve"> - Proposta de alteração da Resolução Conjunta n° 01/2018 - </w:t>
      </w:r>
      <w:proofErr w:type="spellStart"/>
      <w:r w:rsidRPr="00EA51F5">
        <w:rPr>
          <w:rFonts w:ascii="Georgia" w:eastAsia="Times New Roman" w:hAnsi="Georgia"/>
          <w:lang w:eastAsia="pt-BR"/>
        </w:rPr>
        <w:t>CSJEs</w:t>
      </w:r>
      <w:proofErr w:type="spellEnd"/>
      <w:r w:rsidRPr="00EA51F5">
        <w:rPr>
          <w:rFonts w:ascii="Georgia" w:eastAsia="Times New Roman" w:hAnsi="Georgia"/>
          <w:lang w:eastAsia="pt-BR"/>
        </w:rPr>
        <w:t>/</w:t>
      </w:r>
      <w:proofErr w:type="spellStart"/>
      <w:r w:rsidRPr="00EA51F5">
        <w:rPr>
          <w:rFonts w:ascii="Georgia" w:eastAsia="Times New Roman" w:hAnsi="Georgia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 para remanejamento de 02 vagas de serviço extraordinário para o CEJUSC Endividados, sem aumento de despesas. 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Relator: Des. Fernando Prazeres,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, por unanimidade de votos, aprovou a minuta, conforme voto do relator, que também será deliberada junto ao Conselho de Supervisão. </w:t>
      </w:r>
      <w:r w:rsidRPr="00EA51F5">
        <w:rPr>
          <w:rFonts w:ascii="Georgia" w:eastAsia="Times New Roman" w:hAnsi="Georgia"/>
          <w:b/>
          <w:bCs/>
          <w:lang w:eastAsia="pt-BR"/>
        </w:rPr>
        <w:t xml:space="preserve">1.2 </w:t>
      </w:r>
      <w:r w:rsidRPr="00EA51F5">
        <w:rPr>
          <w:rFonts w:ascii="Georgia" w:eastAsia="Times New Roman" w:hAnsi="Georgia"/>
          <w:b/>
          <w:bCs/>
          <w:u w:val="single"/>
          <w:lang w:eastAsia="pt-BR"/>
        </w:rPr>
        <w:t>SEI n° 0037983-54.2023.8.16.6000</w:t>
      </w:r>
      <w:r w:rsidRPr="00EA51F5">
        <w:rPr>
          <w:rFonts w:ascii="Georgia" w:eastAsia="Times New Roman" w:hAnsi="Georgia"/>
          <w:lang w:eastAsia="pt-BR"/>
        </w:rPr>
        <w:t xml:space="preserve"> - Proposta de alteração da Resolução Conjunta n° 268/2020 - </w:t>
      </w:r>
      <w:proofErr w:type="spellStart"/>
      <w:r w:rsidRPr="00EA51F5">
        <w:rPr>
          <w:rFonts w:ascii="Georgia" w:eastAsia="Times New Roman" w:hAnsi="Georgia"/>
          <w:lang w:eastAsia="pt-BR"/>
        </w:rPr>
        <w:t>CSJEs</w:t>
      </w:r>
      <w:proofErr w:type="spellEnd"/>
      <w:r w:rsidRPr="00EA51F5">
        <w:rPr>
          <w:rFonts w:ascii="Georgia" w:eastAsia="Times New Roman" w:hAnsi="Georgia"/>
          <w:lang w:eastAsia="pt-BR"/>
        </w:rPr>
        <w:t>/</w:t>
      </w:r>
      <w:proofErr w:type="spellStart"/>
      <w:r w:rsidRPr="00EA51F5">
        <w:rPr>
          <w:rFonts w:ascii="Georgia" w:eastAsia="Times New Roman" w:hAnsi="Georgia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 que dispõe sobre o procedimento para habilitação, concessão e manutenção do Selo Colabora. 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Relator: Des. Fernando Prazeres, Presidente do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 xml:space="preserve">. </w:t>
      </w:r>
      <w:r w:rsidRPr="00EA51F5">
        <w:rPr>
          <w:rFonts w:ascii="Georgia" w:eastAsia="Times New Roman" w:hAnsi="Georgia"/>
          <w:b/>
          <w:bCs/>
          <w:color w:val="000000"/>
          <w:u w:val="single"/>
          <w:lang w:eastAsia="pt-BR"/>
        </w:rPr>
        <w:t>Decisão</w:t>
      </w:r>
      <w:r w:rsidRPr="00EA51F5">
        <w:rPr>
          <w:rFonts w:ascii="Georgia" w:eastAsia="Times New Roman" w:hAnsi="Georgia"/>
          <w:color w:val="000000"/>
          <w:u w:val="single"/>
          <w:lang w:eastAsia="pt-BR"/>
        </w:rPr>
        <w:t>:</w:t>
      </w:r>
      <w:r w:rsidRPr="00EA51F5">
        <w:rPr>
          <w:rFonts w:ascii="Georgia" w:eastAsia="Times New Roman" w:hAnsi="Georgia"/>
          <w:color w:val="000000"/>
          <w:lang w:eastAsia="pt-BR"/>
        </w:rPr>
        <w:t xml:space="preserve"> O </w:t>
      </w:r>
      <w:proofErr w:type="spellStart"/>
      <w:r w:rsidRPr="00EA51F5">
        <w:rPr>
          <w:rFonts w:ascii="Georgia" w:eastAsia="Times New Roman" w:hAnsi="Georgia"/>
          <w:color w:val="000000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color w:val="000000"/>
          <w:lang w:eastAsia="pt-BR"/>
        </w:rPr>
        <w:t>, por unanimidade de votos, aprovou a minuta, conforme voto do relator, que também será deliberada junto ao Conselho de Supervisão.</w:t>
      </w:r>
    </w:p>
    <w:p w:rsidR="00EA51F5" w:rsidRPr="00EA51F5" w:rsidRDefault="00EA51F5" w:rsidP="00ED7340">
      <w:pPr>
        <w:spacing w:before="120" w:after="120" w:line="276" w:lineRule="auto"/>
        <w:jc w:val="both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u w:val="single"/>
          <w:lang w:eastAsia="pt-BR"/>
        </w:rPr>
        <w:t>Encerramento</w:t>
      </w:r>
      <w:r w:rsidRPr="00EA51F5">
        <w:rPr>
          <w:rFonts w:ascii="Georgia" w:eastAsia="Times New Roman" w:hAnsi="Georgia"/>
          <w:lang w:eastAsia="pt-BR"/>
        </w:rPr>
        <w:t xml:space="preserve">. Nada mais havendo a tratar, deu-se por encerrada a reunião. Eu, Larissa Barreto Maciel, Secretária do </w:t>
      </w:r>
      <w:proofErr w:type="spellStart"/>
      <w:r w:rsidRPr="00EA51F5">
        <w:rPr>
          <w:rFonts w:ascii="Georgia" w:eastAsia="Times New Roman" w:hAnsi="Georgia"/>
          <w:lang w:eastAsia="pt-BR"/>
        </w:rPr>
        <w:t>Nupemec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, lavrei a presente ata que, lida e aprovada, assino com o Excelentíssimo Desembargador Fernando </w:t>
      </w:r>
      <w:proofErr w:type="spellStart"/>
      <w:r w:rsidRPr="00EA51F5">
        <w:rPr>
          <w:rFonts w:ascii="Georgia" w:eastAsia="Times New Roman" w:hAnsi="Georgia"/>
          <w:lang w:eastAsia="pt-BR"/>
        </w:rPr>
        <w:t>Antonio</w:t>
      </w:r>
      <w:proofErr w:type="spellEnd"/>
      <w:r w:rsidRPr="00EA51F5">
        <w:rPr>
          <w:rFonts w:ascii="Georgia" w:eastAsia="Times New Roman" w:hAnsi="Georgia"/>
          <w:lang w:eastAsia="pt-BR"/>
        </w:rPr>
        <w:t xml:space="preserve"> Prazeres, 2º Vice-Presidente do Tribunal de Justiça do Estado do Paraná e Presidente do Núcleo Permanente de Métodos Consensuais de Solução de Conflitos.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b/>
          <w:bCs/>
          <w:lang w:eastAsia="pt-BR"/>
        </w:rPr>
        <w:t xml:space="preserve">Desembargador FERNANDO ANTONIO PRAZERES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lang w:eastAsia="pt-BR"/>
        </w:rPr>
        <w:t xml:space="preserve">2º Vice-Presidente do Tribunal de Justiça do Estado do Paraná </w:t>
      </w:r>
    </w:p>
    <w:p w:rsidR="00EA51F5" w:rsidRPr="00EA51F5" w:rsidRDefault="00EA51F5" w:rsidP="00ED7340">
      <w:pPr>
        <w:spacing w:before="120" w:after="120" w:line="276" w:lineRule="auto"/>
        <w:jc w:val="center"/>
        <w:rPr>
          <w:rFonts w:ascii="Georgia" w:eastAsia="Times New Roman" w:hAnsi="Georgia" w:cs="Times New Roman"/>
          <w:lang w:eastAsia="pt-BR"/>
        </w:rPr>
      </w:pPr>
      <w:r w:rsidRPr="00EA51F5">
        <w:rPr>
          <w:rFonts w:ascii="Georgia" w:eastAsia="Times New Roman" w:hAnsi="Georgia"/>
          <w:lang w:eastAsia="pt-BR"/>
        </w:rPr>
        <w:t>Presidente do Núcleo Permanente de Métodos Consensuais de Solução Conflitos</w:t>
      </w:r>
    </w:p>
    <w:p w:rsidR="008D0328" w:rsidRPr="00EA51F5" w:rsidRDefault="008D0328" w:rsidP="00ED7340">
      <w:pPr>
        <w:spacing w:before="120" w:after="120" w:line="276" w:lineRule="auto"/>
        <w:jc w:val="both"/>
        <w:rPr>
          <w:rFonts w:ascii="Georgia" w:hAnsi="Georgia"/>
          <w:b/>
          <w:u w:val="single"/>
        </w:rPr>
      </w:pPr>
    </w:p>
    <w:sectPr w:rsidR="008D0328" w:rsidRPr="00EA51F5" w:rsidSect="00D25427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987"/>
    <w:multiLevelType w:val="hybridMultilevel"/>
    <w:tmpl w:val="BB54F686"/>
    <w:lvl w:ilvl="0" w:tplc="18CA86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41D6"/>
    <w:multiLevelType w:val="hybridMultilevel"/>
    <w:tmpl w:val="CA9C81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2D9B"/>
    <w:multiLevelType w:val="hybridMultilevel"/>
    <w:tmpl w:val="B6E26FF0"/>
    <w:lvl w:ilvl="0" w:tplc="CF28ED64">
      <w:start w:val="1"/>
      <w:numFmt w:val="decimalZero"/>
      <w:lvlText w:val="%1."/>
      <w:lvlJc w:val="left"/>
      <w:pPr>
        <w:ind w:left="208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0416001B" w:tentative="1">
      <w:start w:val="1"/>
      <w:numFmt w:val="lowerRoman"/>
      <w:lvlText w:val="%3."/>
      <w:lvlJc w:val="right"/>
      <w:pPr>
        <w:ind w:left="3435" w:hanging="180"/>
      </w:p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73"/>
    <w:rsid w:val="00000660"/>
    <w:rsid w:val="00005DCD"/>
    <w:rsid w:val="00013262"/>
    <w:rsid w:val="00035EEC"/>
    <w:rsid w:val="00037677"/>
    <w:rsid w:val="000429C3"/>
    <w:rsid w:val="00054B0A"/>
    <w:rsid w:val="00081626"/>
    <w:rsid w:val="000C252B"/>
    <w:rsid w:val="0010231B"/>
    <w:rsid w:val="00110264"/>
    <w:rsid w:val="0013783F"/>
    <w:rsid w:val="00172F6F"/>
    <w:rsid w:val="0018102B"/>
    <w:rsid w:val="00190450"/>
    <w:rsid w:val="001A3537"/>
    <w:rsid w:val="001A56D1"/>
    <w:rsid w:val="001C3EE4"/>
    <w:rsid w:val="00204384"/>
    <w:rsid w:val="0021445C"/>
    <w:rsid w:val="0023454C"/>
    <w:rsid w:val="00252F0C"/>
    <w:rsid w:val="00256EED"/>
    <w:rsid w:val="00272E9C"/>
    <w:rsid w:val="00286D75"/>
    <w:rsid w:val="002900DE"/>
    <w:rsid w:val="002B0625"/>
    <w:rsid w:val="002B07ED"/>
    <w:rsid w:val="002B0FDD"/>
    <w:rsid w:val="002C0FA9"/>
    <w:rsid w:val="002C233A"/>
    <w:rsid w:val="002E5431"/>
    <w:rsid w:val="00310B04"/>
    <w:rsid w:val="003132D5"/>
    <w:rsid w:val="003373CD"/>
    <w:rsid w:val="00370911"/>
    <w:rsid w:val="003711A4"/>
    <w:rsid w:val="00373029"/>
    <w:rsid w:val="003731D5"/>
    <w:rsid w:val="003A69C3"/>
    <w:rsid w:val="003D0755"/>
    <w:rsid w:val="003E2BE9"/>
    <w:rsid w:val="003E5092"/>
    <w:rsid w:val="00406BDA"/>
    <w:rsid w:val="004159D8"/>
    <w:rsid w:val="00416EDC"/>
    <w:rsid w:val="00420403"/>
    <w:rsid w:val="00420F08"/>
    <w:rsid w:val="0043435B"/>
    <w:rsid w:val="004372BD"/>
    <w:rsid w:val="004443D3"/>
    <w:rsid w:val="00446BE5"/>
    <w:rsid w:val="00457004"/>
    <w:rsid w:val="00464282"/>
    <w:rsid w:val="004720F1"/>
    <w:rsid w:val="004770F6"/>
    <w:rsid w:val="0048727A"/>
    <w:rsid w:val="00496744"/>
    <w:rsid w:val="004B03C1"/>
    <w:rsid w:val="004C376B"/>
    <w:rsid w:val="004D763D"/>
    <w:rsid w:val="004D77EE"/>
    <w:rsid w:val="004D7EA6"/>
    <w:rsid w:val="004E2B23"/>
    <w:rsid w:val="004E58D6"/>
    <w:rsid w:val="00507684"/>
    <w:rsid w:val="00550D42"/>
    <w:rsid w:val="005565EC"/>
    <w:rsid w:val="00567697"/>
    <w:rsid w:val="0058571F"/>
    <w:rsid w:val="0058635E"/>
    <w:rsid w:val="00597E58"/>
    <w:rsid w:val="005C2F63"/>
    <w:rsid w:val="00601C73"/>
    <w:rsid w:val="00611DCB"/>
    <w:rsid w:val="006217D1"/>
    <w:rsid w:val="00627345"/>
    <w:rsid w:val="00640DDF"/>
    <w:rsid w:val="00661849"/>
    <w:rsid w:val="006805BA"/>
    <w:rsid w:val="00684511"/>
    <w:rsid w:val="006A7269"/>
    <w:rsid w:val="006B16CD"/>
    <w:rsid w:val="006B3B5C"/>
    <w:rsid w:val="006C08AB"/>
    <w:rsid w:val="006C4FEF"/>
    <w:rsid w:val="006C72C1"/>
    <w:rsid w:val="006E75E1"/>
    <w:rsid w:val="007147B0"/>
    <w:rsid w:val="00723E2E"/>
    <w:rsid w:val="00725C85"/>
    <w:rsid w:val="00735951"/>
    <w:rsid w:val="00753D03"/>
    <w:rsid w:val="007A11A5"/>
    <w:rsid w:val="007B5B89"/>
    <w:rsid w:val="007D30CA"/>
    <w:rsid w:val="007D4B93"/>
    <w:rsid w:val="007E7A76"/>
    <w:rsid w:val="00812330"/>
    <w:rsid w:val="008361EF"/>
    <w:rsid w:val="00842E33"/>
    <w:rsid w:val="00864904"/>
    <w:rsid w:val="00894BF3"/>
    <w:rsid w:val="008C12B2"/>
    <w:rsid w:val="008C66A0"/>
    <w:rsid w:val="008D0328"/>
    <w:rsid w:val="0090344C"/>
    <w:rsid w:val="00905F66"/>
    <w:rsid w:val="00905FD7"/>
    <w:rsid w:val="00934F0E"/>
    <w:rsid w:val="00950C81"/>
    <w:rsid w:val="009548ED"/>
    <w:rsid w:val="0095638D"/>
    <w:rsid w:val="009666C6"/>
    <w:rsid w:val="00975B54"/>
    <w:rsid w:val="009A55C3"/>
    <w:rsid w:val="009C45A8"/>
    <w:rsid w:val="009D6013"/>
    <w:rsid w:val="009D7E86"/>
    <w:rsid w:val="009F7AD6"/>
    <w:rsid w:val="00A047D2"/>
    <w:rsid w:val="00A118BC"/>
    <w:rsid w:val="00A31A2A"/>
    <w:rsid w:val="00A33081"/>
    <w:rsid w:val="00A33837"/>
    <w:rsid w:val="00A60A05"/>
    <w:rsid w:val="00A73E5A"/>
    <w:rsid w:val="00AD236D"/>
    <w:rsid w:val="00B14AC5"/>
    <w:rsid w:val="00B21596"/>
    <w:rsid w:val="00B23EDC"/>
    <w:rsid w:val="00B3192C"/>
    <w:rsid w:val="00B571A5"/>
    <w:rsid w:val="00B61A76"/>
    <w:rsid w:val="00B63469"/>
    <w:rsid w:val="00B65722"/>
    <w:rsid w:val="00B65EB0"/>
    <w:rsid w:val="00B67A21"/>
    <w:rsid w:val="00BA3E82"/>
    <w:rsid w:val="00BA4820"/>
    <w:rsid w:val="00BA779F"/>
    <w:rsid w:val="00BE1006"/>
    <w:rsid w:val="00BE36B3"/>
    <w:rsid w:val="00BF44C4"/>
    <w:rsid w:val="00C106AA"/>
    <w:rsid w:val="00C12104"/>
    <w:rsid w:val="00C127C5"/>
    <w:rsid w:val="00C14CFE"/>
    <w:rsid w:val="00C36944"/>
    <w:rsid w:val="00C565BB"/>
    <w:rsid w:val="00C5787F"/>
    <w:rsid w:val="00C63741"/>
    <w:rsid w:val="00C6415D"/>
    <w:rsid w:val="00C93852"/>
    <w:rsid w:val="00C93BE3"/>
    <w:rsid w:val="00C95379"/>
    <w:rsid w:val="00CB1238"/>
    <w:rsid w:val="00CB355D"/>
    <w:rsid w:val="00CE343A"/>
    <w:rsid w:val="00CF189D"/>
    <w:rsid w:val="00CF55F1"/>
    <w:rsid w:val="00D141EE"/>
    <w:rsid w:val="00D25427"/>
    <w:rsid w:val="00D36618"/>
    <w:rsid w:val="00D36C03"/>
    <w:rsid w:val="00D47E7C"/>
    <w:rsid w:val="00D727C0"/>
    <w:rsid w:val="00D84AF9"/>
    <w:rsid w:val="00D87C67"/>
    <w:rsid w:val="00D93BE6"/>
    <w:rsid w:val="00D951A9"/>
    <w:rsid w:val="00DA3458"/>
    <w:rsid w:val="00DC210A"/>
    <w:rsid w:val="00DC4661"/>
    <w:rsid w:val="00DD5C16"/>
    <w:rsid w:val="00DD63E0"/>
    <w:rsid w:val="00DF58F5"/>
    <w:rsid w:val="00E156F6"/>
    <w:rsid w:val="00E26E77"/>
    <w:rsid w:val="00E33A02"/>
    <w:rsid w:val="00E54F95"/>
    <w:rsid w:val="00E82EFA"/>
    <w:rsid w:val="00E8646D"/>
    <w:rsid w:val="00E905CF"/>
    <w:rsid w:val="00E96F18"/>
    <w:rsid w:val="00EA51F5"/>
    <w:rsid w:val="00EB0D26"/>
    <w:rsid w:val="00EC6A19"/>
    <w:rsid w:val="00ED154C"/>
    <w:rsid w:val="00ED22BC"/>
    <w:rsid w:val="00ED4D55"/>
    <w:rsid w:val="00ED7340"/>
    <w:rsid w:val="00ED7D32"/>
    <w:rsid w:val="00EE0776"/>
    <w:rsid w:val="00EE7C26"/>
    <w:rsid w:val="00F27DD8"/>
    <w:rsid w:val="00F450D4"/>
    <w:rsid w:val="00F53C58"/>
    <w:rsid w:val="00F56779"/>
    <w:rsid w:val="00F63729"/>
    <w:rsid w:val="00F7266B"/>
    <w:rsid w:val="00F72F14"/>
    <w:rsid w:val="00F81695"/>
    <w:rsid w:val="00FA1A34"/>
    <w:rsid w:val="00FB2686"/>
    <w:rsid w:val="00FD2C9E"/>
    <w:rsid w:val="00FD4C8E"/>
    <w:rsid w:val="00FD6C1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CF8"/>
  <w15:chartTrackingRefBased/>
  <w15:docId w15:val="{CFAA3D9A-DB06-44EC-8644-2A2A3856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73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8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D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B0D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do Valle Marchesini Laufer</dc:creator>
  <cp:keywords/>
  <dc:description/>
  <cp:lastModifiedBy>Larissa Barreto Maciel</cp:lastModifiedBy>
  <cp:revision>4</cp:revision>
  <cp:lastPrinted>2023-05-23T20:03:00Z</cp:lastPrinted>
  <dcterms:created xsi:type="dcterms:W3CDTF">2023-06-01T15:51:00Z</dcterms:created>
  <dcterms:modified xsi:type="dcterms:W3CDTF">2023-06-01T15:56:00Z</dcterms:modified>
</cp:coreProperties>
</file>